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E63" w:rsidRDefault="006838C8">
      <w:r w:rsidRPr="006838C8">
        <w:rPr>
          <w:rFonts w:ascii="Arial" w:hAnsi="Arial" w:cs="Arial"/>
          <w:noProof/>
          <w:bdr w:val="none" w:sz="0" w:space="0" w:color="auto" w:frame="1"/>
          <w:lang w:val="es-ES"/>
        </w:rPr>
        <w:pict>
          <v:shapetype id="_x0000_t202" coordsize="21600,21600" o:spt="202" path="m,l,21600r21600,l21600,xe">
            <v:stroke joinstyle="miter"/>
            <v:path gradientshapeok="t" o:connecttype="rect"/>
          </v:shapetype>
          <v:shape id="_x0000_s1026" type="#_x0000_t202" style="position:absolute;margin-left:258.95pt;margin-top:-10.15pt;width:76.45pt;height:52.65pt;z-index:251660288;mso-width-relative:margin;mso-height-relative:margin" filled="f">
            <v:textbox>
              <w:txbxContent>
                <w:p w:rsidR="006838C8" w:rsidRDefault="006838C8" w:rsidP="006838C8">
                  <w:pPr>
                    <w:jc w:val="center"/>
                    <w:rPr>
                      <w:lang w:val="es-ES"/>
                    </w:rPr>
                  </w:pPr>
                  <w:r>
                    <w:rPr>
                      <w:lang w:val="es-ES"/>
                    </w:rPr>
                    <w:t>Logo de la Escuela / Facultad</w:t>
                  </w:r>
                </w:p>
              </w:txbxContent>
            </v:textbox>
          </v:shape>
        </w:pict>
      </w:r>
    </w:p>
    <w:p w:rsidR="007A50D3" w:rsidRDefault="007A50D3"/>
    <w:p w:rsidR="00A765CD" w:rsidRDefault="00A765CD" w:rsidP="007A50D3">
      <w:pPr>
        <w:jc w:val="center"/>
        <w:rPr>
          <w:b/>
          <w:sz w:val="72"/>
          <w:szCs w:val="72"/>
        </w:rPr>
      </w:pPr>
    </w:p>
    <w:p w:rsidR="00764E63" w:rsidRDefault="007A50D3" w:rsidP="007A50D3">
      <w:pPr>
        <w:jc w:val="center"/>
        <w:rPr>
          <w:b/>
          <w:sz w:val="72"/>
          <w:szCs w:val="72"/>
        </w:rPr>
      </w:pPr>
      <w:r w:rsidRPr="007A50D3">
        <w:rPr>
          <w:b/>
          <w:sz w:val="72"/>
          <w:szCs w:val="72"/>
        </w:rPr>
        <w:t>Escuela Preparatoria No. 1</w:t>
      </w:r>
    </w:p>
    <w:p w:rsidR="007A50D3" w:rsidRPr="007A50D3" w:rsidRDefault="007A50D3" w:rsidP="007A50D3">
      <w:pPr>
        <w:jc w:val="center"/>
        <w:rPr>
          <w:b/>
          <w:sz w:val="72"/>
          <w:szCs w:val="72"/>
        </w:rPr>
      </w:pPr>
      <w:r>
        <w:rPr>
          <w:b/>
          <w:sz w:val="72"/>
          <w:szCs w:val="72"/>
        </w:rPr>
        <w:t>Programa Interno de Protección Civil</w:t>
      </w:r>
    </w:p>
    <w:p w:rsidR="00764E63" w:rsidRDefault="001454B6">
      <w:r>
        <w:rPr>
          <w:rFonts w:ascii="Arial" w:hAnsi="Arial" w:cs="Arial"/>
          <w:noProof/>
          <w:lang w:eastAsia="es-MX"/>
        </w:rPr>
        <w:pict>
          <v:shape id="_x0000_s1027" type="#_x0000_t202" style="position:absolute;margin-left:91.1pt;margin-top:6.05pt;width:267.65pt;height:189.35pt;z-index:251661312;mso-width-relative:margin;mso-height-relative:margin" filled="f">
            <v:textbox>
              <w:txbxContent>
                <w:p w:rsidR="003641EC" w:rsidRDefault="003641EC" w:rsidP="006838C8">
                  <w:pPr>
                    <w:jc w:val="center"/>
                    <w:rPr>
                      <w:lang w:val="es-ES"/>
                    </w:rPr>
                  </w:pPr>
                </w:p>
                <w:p w:rsidR="003641EC" w:rsidRDefault="003641EC" w:rsidP="006838C8">
                  <w:pPr>
                    <w:jc w:val="center"/>
                    <w:rPr>
                      <w:lang w:val="es-ES"/>
                    </w:rPr>
                  </w:pPr>
                </w:p>
                <w:p w:rsidR="003641EC" w:rsidRDefault="003641EC" w:rsidP="006838C8">
                  <w:pPr>
                    <w:jc w:val="center"/>
                    <w:rPr>
                      <w:lang w:val="es-ES"/>
                    </w:rPr>
                  </w:pPr>
                </w:p>
                <w:p w:rsidR="003641EC" w:rsidRDefault="003641EC" w:rsidP="006838C8">
                  <w:pPr>
                    <w:jc w:val="center"/>
                    <w:rPr>
                      <w:lang w:val="es-ES"/>
                    </w:rPr>
                  </w:pPr>
                  <w:r>
                    <w:rPr>
                      <w:lang w:val="es-ES"/>
                    </w:rPr>
                    <w:t>Foto de la Escuela / Facultad</w:t>
                  </w:r>
                </w:p>
                <w:p w:rsidR="001454B6" w:rsidRDefault="001454B6" w:rsidP="006838C8">
                  <w:pPr>
                    <w:jc w:val="center"/>
                    <w:rPr>
                      <w:lang w:val="es-ES"/>
                    </w:rPr>
                  </w:pPr>
                  <w:r>
                    <w:rPr>
                      <w:lang w:val="es-ES"/>
                    </w:rPr>
                    <w:t>Formato Marca de Agua</w:t>
                  </w:r>
                </w:p>
              </w:txbxContent>
            </v:textbox>
          </v:shape>
        </w:pict>
      </w:r>
    </w:p>
    <w:p w:rsidR="007A50D3" w:rsidRDefault="007A50D3"/>
    <w:p w:rsidR="007A50D3" w:rsidRDefault="007A50D3"/>
    <w:p w:rsidR="007A50D3" w:rsidRDefault="007A50D3"/>
    <w:p w:rsidR="007A50D3" w:rsidRDefault="007A50D3"/>
    <w:p w:rsidR="003641EC" w:rsidRDefault="003641EC" w:rsidP="00370CDB">
      <w:pPr>
        <w:spacing w:before="240"/>
        <w:jc w:val="right"/>
        <w:rPr>
          <w:b/>
          <w:sz w:val="56"/>
          <w:szCs w:val="56"/>
        </w:rPr>
      </w:pPr>
    </w:p>
    <w:p w:rsidR="003641EC" w:rsidRDefault="003641EC" w:rsidP="00370CDB">
      <w:pPr>
        <w:spacing w:before="240"/>
        <w:jc w:val="right"/>
        <w:rPr>
          <w:b/>
          <w:sz w:val="56"/>
          <w:szCs w:val="56"/>
        </w:rPr>
      </w:pPr>
    </w:p>
    <w:p w:rsidR="001454B6" w:rsidRDefault="007A50D3" w:rsidP="00370CDB">
      <w:pPr>
        <w:spacing w:before="240"/>
        <w:jc w:val="right"/>
        <w:rPr>
          <w:b/>
          <w:sz w:val="40"/>
          <w:szCs w:val="40"/>
        </w:rPr>
      </w:pPr>
      <w:r w:rsidRPr="003641EC">
        <w:rPr>
          <w:b/>
          <w:sz w:val="40"/>
          <w:szCs w:val="40"/>
        </w:rPr>
        <w:t>Agosto de 2019</w:t>
      </w:r>
    </w:p>
    <w:p w:rsidR="00D255FC" w:rsidRDefault="00D255FC" w:rsidP="00370CDB">
      <w:pPr>
        <w:spacing w:before="240"/>
        <w:jc w:val="right"/>
        <w:rPr>
          <w:b/>
          <w:sz w:val="40"/>
          <w:szCs w:val="40"/>
        </w:rPr>
        <w:sectPr w:rsidR="00D255FC" w:rsidSect="00A765CD">
          <w:headerReference w:type="default" r:id="rId8"/>
          <w:pgSz w:w="12240" w:h="15840"/>
          <w:pgMar w:top="1417" w:right="1701" w:bottom="1417" w:left="1701" w:header="709" w:footer="709" w:gutter="0"/>
          <w:cols w:space="708"/>
          <w:docGrid w:linePitch="360"/>
        </w:sectPr>
      </w:pPr>
    </w:p>
    <w:p w:rsidR="00A765CD" w:rsidRDefault="00A765CD" w:rsidP="006C2F09">
      <w:pPr>
        <w:jc w:val="center"/>
        <w:rPr>
          <w:rFonts w:ascii="Arial" w:hAnsi="Arial" w:cs="Arial"/>
          <w:b/>
          <w:sz w:val="26"/>
          <w:szCs w:val="26"/>
        </w:rPr>
      </w:pPr>
    </w:p>
    <w:p w:rsidR="00764E63" w:rsidRDefault="0083716A" w:rsidP="006C2F09">
      <w:pPr>
        <w:jc w:val="center"/>
        <w:rPr>
          <w:rFonts w:ascii="Arial" w:hAnsi="Arial" w:cs="Arial"/>
          <w:b/>
          <w:sz w:val="26"/>
          <w:szCs w:val="26"/>
        </w:rPr>
      </w:pPr>
      <w:r w:rsidRPr="0083716A">
        <w:rPr>
          <w:rFonts w:ascii="Arial" w:hAnsi="Arial" w:cs="Arial"/>
          <w:b/>
          <w:sz w:val="26"/>
          <w:szCs w:val="26"/>
        </w:rPr>
        <w:t>Contenido</w:t>
      </w:r>
    </w:p>
    <w:p w:rsidR="006C2F09" w:rsidRDefault="006C2F09">
      <w:pPr>
        <w:rPr>
          <w:rFonts w:ascii="Arial" w:hAnsi="Arial" w:cs="Arial"/>
          <w:b/>
          <w:sz w:val="26"/>
          <w:szCs w:val="26"/>
        </w:rPr>
      </w:pPr>
    </w:p>
    <w:p w:rsidR="0083716A" w:rsidRDefault="0083716A">
      <w:pPr>
        <w:rPr>
          <w:rFonts w:ascii="Arial" w:hAnsi="Arial" w:cs="Arial"/>
          <w:b/>
          <w:sz w:val="26"/>
          <w:szCs w:val="26"/>
        </w:rPr>
      </w:pPr>
      <w:r>
        <w:rPr>
          <w:rFonts w:ascii="Arial" w:hAnsi="Arial" w:cs="Arial"/>
          <w:b/>
          <w:sz w:val="26"/>
          <w:szCs w:val="26"/>
        </w:rPr>
        <w:t>Introducción</w:t>
      </w:r>
    </w:p>
    <w:p w:rsidR="0083716A" w:rsidRPr="0083716A" w:rsidRDefault="0083716A" w:rsidP="0083716A">
      <w:pPr>
        <w:jc w:val="both"/>
        <w:rPr>
          <w:rFonts w:ascii="Arial" w:hAnsi="Arial" w:cs="Arial"/>
          <w:b/>
          <w:sz w:val="26"/>
          <w:szCs w:val="26"/>
        </w:rPr>
      </w:pPr>
      <w:r>
        <w:rPr>
          <w:rFonts w:ascii="Arial" w:hAnsi="Arial" w:cs="Arial"/>
          <w:b/>
          <w:sz w:val="26"/>
          <w:szCs w:val="26"/>
        </w:rPr>
        <w:t>Subprograma de prevención</w:t>
      </w:r>
    </w:p>
    <w:p w:rsidR="0083716A" w:rsidRPr="0083716A" w:rsidRDefault="0083716A" w:rsidP="001454B6">
      <w:pPr>
        <w:spacing w:line="240" w:lineRule="auto"/>
        <w:ind w:left="708"/>
        <w:jc w:val="both"/>
        <w:rPr>
          <w:rFonts w:ascii="Arial" w:hAnsi="Arial" w:cs="Arial"/>
        </w:rPr>
      </w:pPr>
      <w:r w:rsidRPr="0083716A">
        <w:rPr>
          <w:rFonts w:ascii="Arial" w:hAnsi="Arial" w:cs="Arial"/>
        </w:rPr>
        <w:t>Organización</w:t>
      </w:r>
    </w:p>
    <w:p w:rsidR="0083716A" w:rsidRPr="0083716A" w:rsidRDefault="0083716A" w:rsidP="001454B6">
      <w:pPr>
        <w:spacing w:line="240" w:lineRule="auto"/>
        <w:ind w:left="708"/>
        <w:jc w:val="both"/>
        <w:rPr>
          <w:rFonts w:ascii="Arial" w:hAnsi="Arial" w:cs="Arial"/>
        </w:rPr>
      </w:pPr>
      <w:r w:rsidRPr="0083716A">
        <w:rPr>
          <w:rFonts w:ascii="Arial" w:hAnsi="Arial" w:cs="Arial"/>
        </w:rPr>
        <w:t>Documentación del Programa</w:t>
      </w:r>
    </w:p>
    <w:p w:rsidR="0083716A" w:rsidRPr="0083716A" w:rsidRDefault="0083716A" w:rsidP="001454B6">
      <w:pPr>
        <w:spacing w:line="240" w:lineRule="auto"/>
        <w:ind w:left="708"/>
        <w:jc w:val="both"/>
        <w:rPr>
          <w:rFonts w:ascii="Arial" w:hAnsi="Arial" w:cs="Arial"/>
        </w:rPr>
      </w:pPr>
      <w:r w:rsidRPr="0083716A">
        <w:rPr>
          <w:rFonts w:ascii="Arial" w:hAnsi="Arial" w:cs="Arial"/>
        </w:rPr>
        <w:t>Análisis de riesgos</w:t>
      </w:r>
    </w:p>
    <w:p w:rsidR="0083716A" w:rsidRPr="0083716A" w:rsidRDefault="0083716A" w:rsidP="001454B6">
      <w:pPr>
        <w:spacing w:line="240" w:lineRule="auto"/>
        <w:ind w:left="708"/>
        <w:jc w:val="both"/>
        <w:rPr>
          <w:rFonts w:ascii="Arial" w:hAnsi="Arial" w:cs="Arial"/>
        </w:rPr>
      </w:pPr>
      <w:r w:rsidRPr="0083716A">
        <w:rPr>
          <w:rFonts w:ascii="Arial" w:hAnsi="Arial" w:cs="Arial"/>
        </w:rPr>
        <w:t>Directorios e inventarios</w:t>
      </w:r>
    </w:p>
    <w:p w:rsidR="0083716A" w:rsidRPr="0083716A" w:rsidRDefault="0083716A" w:rsidP="001454B6">
      <w:pPr>
        <w:spacing w:line="240" w:lineRule="auto"/>
        <w:ind w:left="708"/>
        <w:jc w:val="both"/>
        <w:rPr>
          <w:rFonts w:ascii="Arial" w:hAnsi="Arial" w:cs="Arial"/>
        </w:rPr>
      </w:pPr>
      <w:r w:rsidRPr="0083716A">
        <w:rPr>
          <w:rFonts w:ascii="Arial" w:hAnsi="Arial" w:cs="Arial"/>
        </w:rPr>
        <w:t>Señalización</w:t>
      </w:r>
    </w:p>
    <w:p w:rsidR="0083716A" w:rsidRPr="0083716A" w:rsidRDefault="0083716A" w:rsidP="001454B6">
      <w:pPr>
        <w:spacing w:line="240" w:lineRule="auto"/>
        <w:ind w:left="708"/>
        <w:jc w:val="both"/>
        <w:rPr>
          <w:rFonts w:ascii="Arial" w:hAnsi="Arial" w:cs="Arial"/>
        </w:rPr>
      </w:pPr>
      <w:r w:rsidRPr="0083716A">
        <w:rPr>
          <w:rFonts w:ascii="Arial" w:hAnsi="Arial" w:cs="Arial"/>
        </w:rPr>
        <w:t>Programa de mantenimiento</w:t>
      </w:r>
    </w:p>
    <w:p w:rsidR="0083716A" w:rsidRPr="0083716A" w:rsidRDefault="0083716A" w:rsidP="001454B6">
      <w:pPr>
        <w:spacing w:line="240" w:lineRule="auto"/>
        <w:ind w:left="708"/>
        <w:jc w:val="both"/>
        <w:rPr>
          <w:rFonts w:ascii="Arial" w:hAnsi="Arial" w:cs="Arial"/>
        </w:rPr>
      </w:pPr>
      <w:r w:rsidRPr="0083716A">
        <w:rPr>
          <w:rFonts w:ascii="Arial" w:hAnsi="Arial" w:cs="Arial"/>
        </w:rPr>
        <w:t>Normas de seguridad</w:t>
      </w:r>
    </w:p>
    <w:p w:rsidR="0083716A" w:rsidRPr="0083716A" w:rsidRDefault="0083716A" w:rsidP="001454B6">
      <w:pPr>
        <w:spacing w:line="240" w:lineRule="auto"/>
        <w:ind w:left="708"/>
        <w:jc w:val="both"/>
        <w:rPr>
          <w:rFonts w:ascii="Arial" w:hAnsi="Arial" w:cs="Arial"/>
        </w:rPr>
      </w:pPr>
      <w:r w:rsidRPr="0083716A">
        <w:rPr>
          <w:rFonts w:ascii="Arial" w:hAnsi="Arial" w:cs="Arial"/>
        </w:rPr>
        <w:t>Equipo de seguridad</w:t>
      </w:r>
    </w:p>
    <w:p w:rsidR="0083716A" w:rsidRPr="0083716A" w:rsidRDefault="0083716A" w:rsidP="001454B6">
      <w:pPr>
        <w:spacing w:line="240" w:lineRule="auto"/>
        <w:ind w:left="708"/>
        <w:jc w:val="both"/>
        <w:rPr>
          <w:rFonts w:ascii="Arial" w:hAnsi="Arial" w:cs="Arial"/>
        </w:rPr>
      </w:pPr>
      <w:r w:rsidRPr="0083716A">
        <w:rPr>
          <w:rFonts w:ascii="Arial" w:hAnsi="Arial" w:cs="Arial"/>
        </w:rPr>
        <w:t>Capacitación y difusión</w:t>
      </w:r>
    </w:p>
    <w:p w:rsidR="0083716A" w:rsidRPr="0083716A" w:rsidRDefault="0083716A" w:rsidP="001454B6">
      <w:pPr>
        <w:spacing w:line="240" w:lineRule="auto"/>
        <w:ind w:left="708"/>
        <w:jc w:val="both"/>
        <w:rPr>
          <w:rFonts w:ascii="Arial" w:hAnsi="Arial" w:cs="Arial"/>
        </w:rPr>
      </w:pPr>
      <w:r w:rsidRPr="0083716A">
        <w:rPr>
          <w:rFonts w:ascii="Arial" w:hAnsi="Arial" w:cs="Arial"/>
        </w:rPr>
        <w:t>Ejercicios y simulacros</w:t>
      </w:r>
    </w:p>
    <w:p w:rsidR="0083716A" w:rsidRPr="0083716A" w:rsidRDefault="0083716A" w:rsidP="00D255FC">
      <w:pPr>
        <w:spacing w:before="360" w:line="240" w:lineRule="auto"/>
        <w:jc w:val="both"/>
        <w:rPr>
          <w:rFonts w:ascii="Arial" w:hAnsi="Arial" w:cs="Arial"/>
          <w:b/>
          <w:bCs/>
          <w:sz w:val="26"/>
          <w:szCs w:val="26"/>
          <w:lang w:val="es-ES"/>
        </w:rPr>
      </w:pPr>
      <w:r w:rsidRPr="0083716A">
        <w:rPr>
          <w:rFonts w:ascii="Arial" w:hAnsi="Arial" w:cs="Arial"/>
          <w:b/>
          <w:bCs/>
          <w:sz w:val="26"/>
          <w:szCs w:val="26"/>
          <w:lang w:val="es-ES"/>
        </w:rPr>
        <w:t>Subprograma de Auxilio</w:t>
      </w:r>
    </w:p>
    <w:p w:rsidR="0083716A" w:rsidRDefault="0083716A" w:rsidP="001454B6">
      <w:pPr>
        <w:spacing w:line="240" w:lineRule="auto"/>
        <w:ind w:left="708"/>
        <w:jc w:val="both"/>
        <w:rPr>
          <w:rFonts w:ascii="Arial" w:hAnsi="Arial" w:cs="Arial"/>
          <w:bCs/>
          <w:lang w:val="es-ES"/>
        </w:rPr>
      </w:pPr>
      <w:r>
        <w:rPr>
          <w:rFonts w:ascii="Arial" w:hAnsi="Arial" w:cs="Arial"/>
          <w:bCs/>
          <w:lang w:val="es-ES"/>
        </w:rPr>
        <w:t>Alertamiento</w:t>
      </w:r>
    </w:p>
    <w:p w:rsidR="0083716A" w:rsidRPr="0083716A" w:rsidRDefault="0083716A" w:rsidP="001454B6">
      <w:pPr>
        <w:spacing w:line="240" w:lineRule="auto"/>
        <w:ind w:left="708"/>
        <w:jc w:val="both"/>
        <w:rPr>
          <w:rFonts w:ascii="Arial" w:hAnsi="Arial" w:cs="Arial"/>
          <w:bCs/>
          <w:lang w:val="es-ES"/>
        </w:rPr>
      </w:pPr>
      <w:r w:rsidRPr="0083716A">
        <w:rPr>
          <w:rFonts w:ascii="Arial" w:hAnsi="Arial" w:cs="Arial"/>
          <w:bCs/>
          <w:lang w:val="es-ES"/>
        </w:rPr>
        <w:t>Plan</w:t>
      </w:r>
      <w:r>
        <w:rPr>
          <w:rFonts w:ascii="Arial" w:hAnsi="Arial" w:cs="Arial"/>
          <w:bCs/>
          <w:lang w:val="es-ES"/>
        </w:rPr>
        <w:t>es</w:t>
      </w:r>
      <w:r w:rsidRPr="0083716A">
        <w:rPr>
          <w:rFonts w:ascii="Arial" w:hAnsi="Arial" w:cs="Arial"/>
          <w:bCs/>
          <w:lang w:val="es-ES"/>
        </w:rPr>
        <w:t xml:space="preserve"> de emergencia</w:t>
      </w:r>
    </w:p>
    <w:p w:rsidR="0083716A" w:rsidRPr="0083716A" w:rsidRDefault="0083716A" w:rsidP="001454B6">
      <w:pPr>
        <w:spacing w:line="240" w:lineRule="auto"/>
        <w:ind w:left="708"/>
        <w:jc w:val="both"/>
        <w:rPr>
          <w:rFonts w:ascii="Arial" w:hAnsi="Arial" w:cs="Arial"/>
          <w:bCs/>
          <w:lang w:val="es-ES"/>
        </w:rPr>
      </w:pPr>
      <w:r w:rsidRPr="0083716A">
        <w:rPr>
          <w:rFonts w:ascii="Arial" w:hAnsi="Arial" w:cs="Arial"/>
          <w:bCs/>
          <w:lang w:val="es-ES"/>
        </w:rPr>
        <w:t>Evaluación de daños</w:t>
      </w:r>
    </w:p>
    <w:p w:rsidR="0083716A" w:rsidRPr="0083716A" w:rsidRDefault="0083716A" w:rsidP="00D255FC">
      <w:pPr>
        <w:spacing w:before="360" w:line="240" w:lineRule="auto"/>
        <w:jc w:val="both"/>
        <w:rPr>
          <w:rFonts w:ascii="Arial" w:hAnsi="Arial" w:cs="Arial"/>
          <w:b/>
          <w:sz w:val="26"/>
          <w:szCs w:val="26"/>
        </w:rPr>
      </w:pPr>
      <w:r>
        <w:rPr>
          <w:rFonts w:ascii="Arial" w:hAnsi="Arial" w:cs="Arial"/>
          <w:b/>
          <w:sz w:val="26"/>
          <w:szCs w:val="26"/>
        </w:rPr>
        <w:t>Subprograma de recuperación</w:t>
      </w:r>
    </w:p>
    <w:p w:rsidR="0083716A" w:rsidRDefault="0083716A" w:rsidP="0083716A">
      <w:pPr>
        <w:spacing w:line="240" w:lineRule="auto"/>
        <w:jc w:val="both"/>
        <w:rPr>
          <w:rFonts w:ascii="Arial" w:hAnsi="Arial" w:cs="Arial"/>
        </w:rPr>
      </w:pPr>
    </w:p>
    <w:p w:rsidR="00083EE6" w:rsidRDefault="00083EE6">
      <w:pPr>
        <w:rPr>
          <w:rFonts w:ascii="Arial" w:hAnsi="Arial" w:cs="Arial"/>
        </w:rPr>
      </w:pPr>
      <w:r>
        <w:rPr>
          <w:rFonts w:ascii="Arial" w:hAnsi="Arial" w:cs="Arial"/>
        </w:rPr>
        <w:br w:type="page"/>
      </w:r>
    </w:p>
    <w:p w:rsidR="00083EE6" w:rsidRDefault="00083EE6" w:rsidP="00D255FC">
      <w:pPr>
        <w:jc w:val="center"/>
        <w:rPr>
          <w:rFonts w:ascii="Arial" w:hAnsi="Arial" w:cs="Arial"/>
          <w:b/>
          <w:sz w:val="26"/>
          <w:szCs w:val="26"/>
        </w:rPr>
      </w:pPr>
      <w:r>
        <w:rPr>
          <w:rFonts w:ascii="Arial" w:hAnsi="Arial" w:cs="Arial"/>
          <w:b/>
          <w:sz w:val="26"/>
          <w:szCs w:val="26"/>
        </w:rPr>
        <w:lastRenderedPageBreak/>
        <w:t>Introducción</w:t>
      </w:r>
    </w:p>
    <w:p w:rsidR="00A765CD" w:rsidRDefault="00A765CD" w:rsidP="00D255FC">
      <w:pPr>
        <w:jc w:val="center"/>
        <w:rPr>
          <w:rFonts w:ascii="Arial" w:hAnsi="Arial" w:cs="Arial"/>
          <w:b/>
          <w:sz w:val="26"/>
          <w:szCs w:val="26"/>
        </w:rPr>
      </w:pPr>
    </w:p>
    <w:p w:rsidR="00083EE6" w:rsidRPr="00083EE6" w:rsidRDefault="00083EE6" w:rsidP="00083EE6">
      <w:pPr>
        <w:spacing w:after="240" w:line="360" w:lineRule="auto"/>
        <w:jc w:val="both"/>
        <w:rPr>
          <w:rFonts w:ascii="Arial" w:hAnsi="Arial" w:cs="Arial"/>
        </w:rPr>
      </w:pPr>
      <w:r w:rsidRPr="00083EE6">
        <w:rPr>
          <w:rFonts w:ascii="Arial" w:hAnsi="Arial" w:cs="Arial"/>
        </w:rPr>
        <w:t>Los sismos de 1985 con magnitudes de 8.1 y 7.3 causaron pérdidas humanas y destrucción a gran escala, lo que dio origen formal a la Protección Civil en México; el huracán Paulina en 1997 dejo cientos de muertos y daños materiales por miles de millones de pesos dando origen a la Protección Civil en el Estado de Guerrero. Catástrofes más recientes como el tsunami de Indonesia en 2004, los sismos de Haití, Chile en 2010 y 2015, Japón 2011, Afganistán 2015 y los sismos en México del 7 y 19 de septiembre de 2017, nos demuestran la vulnerabilidad que tenemos ante los fenómenos naturales.</w:t>
      </w:r>
    </w:p>
    <w:p w:rsidR="00083EE6" w:rsidRPr="00083EE6" w:rsidRDefault="00083EE6" w:rsidP="00083EE6">
      <w:pPr>
        <w:spacing w:after="240" w:line="360" w:lineRule="auto"/>
        <w:jc w:val="both"/>
        <w:rPr>
          <w:rFonts w:ascii="Arial" w:hAnsi="Arial" w:cs="Arial"/>
        </w:rPr>
      </w:pPr>
      <w:r w:rsidRPr="00083EE6">
        <w:rPr>
          <w:rFonts w:ascii="Arial" w:hAnsi="Arial" w:cs="Arial"/>
        </w:rPr>
        <w:t>Guerrero es un Estado con alta sismicidad por el efecto de la placa de Cocos y la de Norteamérica; algunos sismos importantes fueron el de 1957 en Acapulco de magnitud 7.5, los de Petatlán en 1979 de 7.6 y en el 2014 de 7.2, el de Ometepec en 2012 de 7.4.</w:t>
      </w:r>
    </w:p>
    <w:p w:rsidR="00083EE6" w:rsidRPr="00083EE6" w:rsidRDefault="00083EE6" w:rsidP="00083EE6">
      <w:pPr>
        <w:spacing w:after="240" w:line="360" w:lineRule="auto"/>
        <w:jc w:val="both"/>
        <w:rPr>
          <w:rFonts w:ascii="Arial" w:hAnsi="Arial" w:cs="Arial"/>
        </w:rPr>
      </w:pPr>
      <w:r w:rsidRPr="00083EE6">
        <w:rPr>
          <w:rFonts w:ascii="Arial" w:hAnsi="Arial" w:cs="Arial"/>
        </w:rPr>
        <w:t>La brecha de Guerrero entre Acapulco y Petatlán no ha presentado actividad sísmica importante desde 1911 lo que hace esperar la ocurrencia de un sismo de magnitud considerable, adicionalmente en nuestro Estado, tenemos la afectación por los fenómenos hidrometeorológicos e incendios.</w:t>
      </w:r>
    </w:p>
    <w:p w:rsidR="00083EE6" w:rsidRPr="00083EE6" w:rsidRDefault="00083EE6" w:rsidP="00083EE6">
      <w:pPr>
        <w:spacing w:after="240" w:line="360" w:lineRule="auto"/>
        <w:jc w:val="both"/>
        <w:rPr>
          <w:rFonts w:ascii="Arial" w:hAnsi="Arial" w:cs="Arial"/>
        </w:rPr>
      </w:pPr>
      <w:r w:rsidRPr="00083EE6">
        <w:rPr>
          <w:rFonts w:ascii="Arial" w:hAnsi="Arial" w:cs="Arial"/>
        </w:rPr>
        <w:t>El Estado de Guerrero con 63,596 km² de superficie representa apenas el 3.2% de la Superficie de nuestro país, sin embargo se produce el entre el 19 7 25% de la sismicidad nacional por el efecto de subducción entre la placa de Cocos y la de Norteamérica; contamos con aproximadamente 500 km de litoral que provoca evaporación en el océano Pacífico, se condensa en forma de nubes, las que son llevadas por los vientos hacia el norte, donde chocan con el macizo montañoso que constituye la sierra Madre del Sur, produciendo los fenómenos hidrometeorológicos recurrentes.</w:t>
      </w:r>
    </w:p>
    <w:p w:rsidR="00083EE6" w:rsidRPr="006838C8" w:rsidRDefault="00083EE6" w:rsidP="006838C8">
      <w:pPr>
        <w:spacing w:after="240" w:line="360" w:lineRule="auto"/>
        <w:jc w:val="both"/>
        <w:rPr>
          <w:rFonts w:ascii="Arial" w:hAnsi="Arial" w:cs="Arial"/>
          <w:bdr w:val="none" w:sz="0" w:space="0" w:color="auto" w:frame="1"/>
        </w:rPr>
      </w:pPr>
      <w:r w:rsidRPr="00083EE6">
        <w:rPr>
          <w:rFonts w:ascii="Arial" w:hAnsi="Arial" w:cs="Arial"/>
          <w:bdr w:val="none" w:sz="0" w:space="0" w:color="auto" w:frame="1"/>
        </w:rPr>
        <w:t>Los grandes daños y pérdidas humanas causados por la tormenta tropical “Manuel” y el huracán “Ingrid” en 2013, las manifestaciones sociales a causa del asesinato y desaparición de estudiantes normalistas en septiembre de 2014, la violencia generada por los grupos del narcotráfico, nos demuestran la vulnerabilidad a la que estamos expuestos.</w:t>
      </w:r>
    </w:p>
    <w:sectPr w:rsidR="00083EE6" w:rsidRPr="006838C8" w:rsidSect="00A765CD">
      <w:headerReference w:type="default" r:id="rId9"/>
      <w:pgSz w:w="12240" w:h="15840"/>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D4E" w:rsidRDefault="00F76D4E" w:rsidP="001454B6">
      <w:pPr>
        <w:spacing w:after="0" w:line="240" w:lineRule="auto"/>
      </w:pPr>
      <w:r>
        <w:separator/>
      </w:r>
    </w:p>
  </w:endnote>
  <w:endnote w:type="continuationSeparator" w:id="0">
    <w:p w:rsidR="00F76D4E" w:rsidRDefault="00F76D4E" w:rsidP="00145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D4E" w:rsidRDefault="00F76D4E" w:rsidP="001454B6">
      <w:pPr>
        <w:spacing w:after="0" w:line="240" w:lineRule="auto"/>
      </w:pPr>
      <w:r>
        <w:separator/>
      </w:r>
    </w:p>
  </w:footnote>
  <w:footnote w:type="continuationSeparator" w:id="0">
    <w:p w:rsidR="00F76D4E" w:rsidRDefault="00F76D4E" w:rsidP="001454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4B6" w:rsidRDefault="001454B6">
    <w:pPr>
      <w:pStyle w:val="Encabezado"/>
    </w:pPr>
    <w:r w:rsidRPr="001454B6">
      <w:drawing>
        <wp:anchor distT="0" distB="0" distL="114300" distR="114300" simplePos="0" relativeHeight="251659264" behindDoc="1" locked="0" layoutInCell="1" allowOverlap="1">
          <wp:simplePos x="0" y="0"/>
          <wp:positionH relativeFrom="column">
            <wp:posOffset>-1073442</wp:posOffset>
          </wp:positionH>
          <wp:positionV relativeFrom="paragraph">
            <wp:posOffset>-444036</wp:posOffset>
          </wp:positionV>
          <wp:extent cx="7762995" cy="10058400"/>
          <wp:effectExtent l="19050" t="0" r="9405" b="0"/>
          <wp:wrapNone/>
          <wp:docPr id="5" name="0 Imagen" descr="PROTECCION CIVIL-04-04_Mesa de trabajo 1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CION CIVIL-04-04_Mesa de trabajo 1 copia.jpg"/>
                  <pic:cNvPicPr/>
                </pic:nvPicPr>
                <pic:blipFill>
                  <a:blip r:embed="rId1" cstate="print"/>
                  <a:stretch>
                    <a:fillRect/>
                  </a:stretch>
                </pic:blipFill>
                <pic:spPr>
                  <a:xfrm>
                    <a:off x="0" y="0"/>
                    <a:ext cx="7762995" cy="100584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5FC" w:rsidRDefault="00D255F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0456"/>
    <w:multiLevelType w:val="hybridMultilevel"/>
    <w:tmpl w:val="078E2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7770A4"/>
    <w:multiLevelType w:val="hybridMultilevel"/>
    <w:tmpl w:val="6F4881A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E8F406E"/>
    <w:multiLevelType w:val="hybridMultilevel"/>
    <w:tmpl w:val="0E8A0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8200CAC"/>
    <w:multiLevelType w:val="hybridMultilevel"/>
    <w:tmpl w:val="8EBAEB0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05A7BD5"/>
    <w:multiLevelType w:val="hybridMultilevel"/>
    <w:tmpl w:val="F6F84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0734DFE"/>
    <w:multiLevelType w:val="hybridMultilevel"/>
    <w:tmpl w:val="DE82C2DA"/>
    <w:lvl w:ilvl="0" w:tplc="080A000F">
      <w:start w:val="1"/>
      <w:numFmt w:val="decimal"/>
      <w:lvlText w:val="%1."/>
      <w:lvlJc w:val="left"/>
      <w:pPr>
        <w:ind w:left="784" w:hanging="360"/>
      </w:pPr>
    </w:lvl>
    <w:lvl w:ilvl="1" w:tplc="080A0019">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08"/>
  <w:hyphenationZone w:val="425"/>
  <w:drawingGridHorizontalSpacing w:val="110"/>
  <w:displayHorizontalDrawingGridEvery w:val="2"/>
  <w:characterSpacingControl w:val="doNotCompress"/>
  <w:hdrShapeDefaults>
    <o:shapedefaults v:ext="edit" spidmax="4098">
      <o:colormenu v:ext="edit" fillcolor="none"/>
    </o:shapedefaults>
  </w:hdrShapeDefaults>
  <w:footnotePr>
    <w:footnote w:id="-1"/>
    <w:footnote w:id="0"/>
  </w:footnotePr>
  <w:endnotePr>
    <w:endnote w:id="-1"/>
    <w:endnote w:id="0"/>
  </w:endnotePr>
  <w:compat/>
  <w:rsids>
    <w:rsidRoot w:val="00764E63"/>
    <w:rsid w:val="00083EE6"/>
    <w:rsid w:val="001454B6"/>
    <w:rsid w:val="003641EC"/>
    <w:rsid w:val="00370CDB"/>
    <w:rsid w:val="005A008F"/>
    <w:rsid w:val="006838C8"/>
    <w:rsid w:val="006C2F09"/>
    <w:rsid w:val="00764E63"/>
    <w:rsid w:val="00772A3E"/>
    <w:rsid w:val="007A50D3"/>
    <w:rsid w:val="0083716A"/>
    <w:rsid w:val="008B7D0B"/>
    <w:rsid w:val="00912391"/>
    <w:rsid w:val="0096327B"/>
    <w:rsid w:val="00A765CD"/>
    <w:rsid w:val="00A76E34"/>
    <w:rsid w:val="00D255FC"/>
    <w:rsid w:val="00E657A8"/>
    <w:rsid w:val="00F1567B"/>
    <w:rsid w:val="00F76D4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D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50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50D3"/>
    <w:rPr>
      <w:rFonts w:ascii="Tahoma" w:hAnsi="Tahoma" w:cs="Tahoma"/>
      <w:sz w:val="16"/>
      <w:szCs w:val="16"/>
    </w:rPr>
  </w:style>
  <w:style w:type="paragraph" w:styleId="Prrafodelista">
    <w:name w:val="List Paragraph"/>
    <w:basedOn w:val="Normal"/>
    <w:uiPriority w:val="34"/>
    <w:qFormat/>
    <w:rsid w:val="0083716A"/>
    <w:pPr>
      <w:ind w:left="720"/>
      <w:contextualSpacing/>
    </w:pPr>
  </w:style>
  <w:style w:type="paragraph" w:styleId="Sinespaciado">
    <w:name w:val="No Spacing"/>
    <w:uiPriority w:val="1"/>
    <w:qFormat/>
    <w:rsid w:val="00083EE6"/>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1454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454B6"/>
  </w:style>
  <w:style w:type="paragraph" w:styleId="Piedepgina">
    <w:name w:val="footer"/>
    <w:basedOn w:val="Normal"/>
    <w:link w:val="PiedepginaCar"/>
    <w:uiPriority w:val="99"/>
    <w:semiHidden/>
    <w:unhideWhenUsed/>
    <w:rsid w:val="001454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454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84999-084A-4511-B0FF-5340D6B5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387</Words>
  <Characters>2132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2019-06-05T21:35:00Z</dcterms:created>
  <dcterms:modified xsi:type="dcterms:W3CDTF">2019-06-05T21:42:00Z</dcterms:modified>
</cp:coreProperties>
</file>